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E914D2" w14:textId="787E3C82" w:rsidR="00EC2168" w:rsidRDefault="00EC2168" w:rsidP="00EC2168">
      <w:pPr>
        <w:jc w:val="center"/>
        <w:rPr>
          <w:rFonts w:ascii="Times New Roman" w:hAnsi="Times New Roman" w:cs="Times New Roman"/>
          <w:sz w:val="24"/>
          <w:szCs w:val="24"/>
        </w:rPr>
      </w:pPr>
    </w:p>
    <w:p w14:paraId="1DE44D5A" w14:textId="5A782E91" w:rsidR="00EC2168" w:rsidRDefault="00EC2168" w:rsidP="00EC2168">
      <w:pPr>
        <w:jc w:val="center"/>
        <w:rPr>
          <w:rFonts w:ascii="Times New Roman" w:hAnsi="Times New Roman" w:cs="Times New Roman"/>
          <w:sz w:val="24"/>
          <w:szCs w:val="24"/>
        </w:rPr>
      </w:pPr>
    </w:p>
    <w:p w14:paraId="4F9F4558" w14:textId="2C34248D" w:rsidR="00EC2168" w:rsidRDefault="00EC2168" w:rsidP="00EC2168">
      <w:pPr>
        <w:jc w:val="center"/>
        <w:rPr>
          <w:rFonts w:ascii="Times New Roman" w:hAnsi="Times New Roman" w:cs="Times New Roman"/>
          <w:sz w:val="24"/>
          <w:szCs w:val="24"/>
        </w:rPr>
      </w:pPr>
    </w:p>
    <w:p w14:paraId="676AF80E" w14:textId="10143E08" w:rsidR="00EC2168" w:rsidRDefault="00EC2168" w:rsidP="00EC2168">
      <w:pPr>
        <w:jc w:val="center"/>
        <w:rPr>
          <w:rFonts w:ascii="Times New Roman" w:hAnsi="Times New Roman" w:cs="Times New Roman"/>
          <w:sz w:val="24"/>
          <w:szCs w:val="24"/>
        </w:rPr>
      </w:pPr>
    </w:p>
    <w:p w14:paraId="739C61F7" w14:textId="77777777" w:rsidR="00EC2168" w:rsidRDefault="00EC2168" w:rsidP="00EC2168">
      <w:pPr>
        <w:jc w:val="center"/>
        <w:rPr>
          <w:rFonts w:ascii="Times New Roman" w:hAnsi="Times New Roman" w:cs="Times New Roman"/>
          <w:sz w:val="24"/>
          <w:szCs w:val="24"/>
        </w:rPr>
      </w:pPr>
    </w:p>
    <w:p w14:paraId="61813400" w14:textId="34B4D8AA" w:rsidR="00EC2168" w:rsidRDefault="00EC2168" w:rsidP="00EC2168">
      <w:pPr>
        <w:jc w:val="center"/>
        <w:rPr>
          <w:rFonts w:ascii="Times New Roman" w:hAnsi="Times New Roman" w:cs="Times New Roman"/>
          <w:sz w:val="24"/>
          <w:szCs w:val="24"/>
        </w:rPr>
      </w:pPr>
    </w:p>
    <w:p w14:paraId="18E8C47B" w14:textId="34C66A8A" w:rsidR="00EC2168" w:rsidRDefault="00EC2168" w:rsidP="00EC2168">
      <w:pPr>
        <w:jc w:val="center"/>
        <w:rPr>
          <w:rFonts w:ascii="Times New Roman" w:hAnsi="Times New Roman" w:cs="Times New Roman"/>
          <w:sz w:val="24"/>
          <w:szCs w:val="24"/>
        </w:rPr>
      </w:pPr>
    </w:p>
    <w:p w14:paraId="3AF21164" w14:textId="7391FA53" w:rsidR="00EC2168" w:rsidRDefault="00EC2168" w:rsidP="00EC2168">
      <w:pPr>
        <w:jc w:val="center"/>
        <w:rPr>
          <w:rFonts w:ascii="Times New Roman" w:hAnsi="Times New Roman" w:cs="Times New Roman"/>
          <w:sz w:val="24"/>
          <w:szCs w:val="24"/>
        </w:rPr>
      </w:pPr>
    </w:p>
    <w:p w14:paraId="423D298E" w14:textId="2A930EF2" w:rsidR="00EC2168" w:rsidRDefault="00EC2168" w:rsidP="00EC2168">
      <w:pPr>
        <w:jc w:val="center"/>
        <w:rPr>
          <w:rFonts w:ascii="Times New Roman" w:hAnsi="Times New Roman" w:cs="Times New Roman"/>
          <w:sz w:val="24"/>
          <w:szCs w:val="24"/>
        </w:rPr>
      </w:pPr>
      <w:r>
        <w:rPr>
          <w:rFonts w:ascii="Times New Roman" w:hAnsi="Times New Roman" w:cs="Times New Roman"/>
          <w:sz w:val="24"/>
          <w:szCs w:val="24"/>
        </w:rPr>
        <w:t>Campaign Financing</w:t>
      </w:r>
    </w:p>
    <w:p w14:paraId="66B12849" w14:textId="35637893" w:rsidR="00EC2168" w:rsidRDefault="00EC2168" w:rsidP="00EC2168">
      <w:pPr>
        <w:jc w:val="center"/>
        <w:rPr>
          <w:rFonts w:ascii="Times New Roman" w:hAnsi="Times New Roman" w:cs="Times New Roman"/>
          <w:sz w:val="24"/>
          <w:szCs w:val="24"/>
        </w:rPr>
      </w:pPr>
    </w:p>
    <w:p w14:paraId="44156323" w14:textId="0389175A" w:rsidR="00EC2168" w:rsidRDefault="00EC2168" w:rsidP="00EC2168">
      <w:pPr>
        <w:jc w:val="center"/>
        <w:rPr>
          <w:rFonts w:ascii="Times New Roman" w:hAnsi="Times New Roman" w:cs="Times New Roman"/>
          <w:sz w:val="24"/>
          <w:szCs w:val="24"/>
        </w:rPr>
      </w:pPr>
    </w:p>
    <w:p w14:paraId="3D517ECF" w14:textId="66BC319C" w:rsidR="00EC2168" w:rsidRDefault="00EC2168" w:rsidP="00EC2168">
      <w:pPr>
        <w:jc w:val="center"/>
        <w:rPr>
          <w:rFonts w:ascii="Times New Roman" w:hAnsi="Times New Roman" w:cs="Times New Roman"/>
          <w:sz w:val="24"/>
          <w:szCs w:val="24"/>
        </w:rPr>
      </w:pPr>
    </w:p>
    <w:p w14:paraId="5CC8094F" w14:textId="0119FB29" w:rsidR="00EC2168" w:rsidRDefault="00EC2168" w:rsidP="00EC2168">
      <w:pPr>
        <w:jc w:val="center"/>
        <w:rPr>
          <w:rFonts w:ascii="Times New Roman" w:hAnsi="Times New Roman" w:cs="Times New Roman"/>
          <w:sz w:val="24"/>
          <w:szCs w:val="24"/>
        </w:rPr>
      </w:pPr>
    </w:p>
    <w:p w14:paraId="5CC5171B" w14:textId="77777777" w:rsidR="00EC2168" w:rsidRDefault="00EC2168" w:rsidP="00EC2168">
      <w:pPr>
        <w:jc w:val="center"/>
        <w:rPr>
          <w:rFonts w:ascii="Times New Roman" w:hAnsi="Times New Roman" w:cs="Times New Roman"/>
          <w:sz w:val="24"/>
          <w:szCs w:val="24"/>
        </w:rPr>
      </w:pPr>
    </w:p>
    <w:p w14:paraId="4D0C0E76" w14:textId="6293A200" w:rsidR="00EC2168" w:rsidRDefault="00EC2168" w:rsidP="00EC2168">
      <w:pPr>
        <w:jc w:val="center"/>
        <w:rPr>
          <w:rFonts w:ascii="Times New Roman" w:hAnsi="Times New Roman" w:cs="Times New Roman"/>
          <w:sz w:val="24"/>
          <w:szCs w:val="24"/>
        </w:rPr>
      </w:pPr>
    </w:p>
    <w:p w14:paraId="54BAD1BC" w14:textId="1E0CFD2E" w:rsidR="00EC2168" w:rsidRDefault="00EC2168" w:rsidP="00EC2168">
      <w:pPr>
        <w:jc w:val="center"/>
        <w:rPr>
          <w:rFonts w:ascii="Times New Roman" w:hAnsi="Times New Roman" w:cs="Times New Roman"/>
          <w:sz w:val="24"/>
          <w:szCs w:val="24"/>
        </w:rPr>
      </w:pPr>
    </w:p>
    <w:p w14:paraId="7359860E" w14:textId="081B4004" w:rsidR="00EC2168" w:rsidRDefault="00EC2168" w:rsidP="00EC2168">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18739D91" w14:textId="60A531D1" w:rsidR="00EC2168" w:rsidRDefault="00EC2168" w:rsidP="00EC2168">
      <w:pPr>
        <w:jc w:val="center"/>
        <w:rPr>
          <w:rFonts w:ascii="Times New Roman" w:hAnsi="Times New Roman" w:cs="Times New Roman"/>
          <w:sz w:val="24"/>
          <w:szCs w:val="24"/>
        </w:rPr>
      </w:pPr>
      <w:r>
        <w:rPr>
          <w:rFonts w:ascii="Times New Roman" w:hAnsi="Times New Roman" w:cs="Times New Roman"/>
          <w:sz w:val="24"/>
          <w:szCs w:val="24"/>
        </w:rPr>
        <w:t>Professor</w:t>
      </w:r>
    </w:p>
    <w:p w14:paraId="3C75002F" w14:textId="355FD0BE" w:rsidR="00EC2168" w:rsidRDefault="00EC2168" w:rsidP="00EC2168">
      <w:pPr>
        <w:jc w:val="center"/>
        <w:rPr>
          <w:rFonts w:ascii="Times New Roman" w:hAnsi="Times New Roman" w:cs="Times New Roman"/>
          <w:sz w:val="24"/>
          <w:szCs w:val="24"/>
        </w:rPr>
      </w:pPr>
      <w:r>
        <w:rPr>
          <w:rFonts w:ascii="Times New Roman" w:hAnsi="Times New Roman" w:cs="Times New Roman"/>
          <w:sz w:val="24"/>
          <w:szCs w:val="24"/>
        </w:rPr>
        <w:t>Course</w:t>
      </w:r>
    </w:p>
    <w:p w14:paraId="37D7DF91" w14:textId="51672F40" w:rsidR="00EC2168" w:rsidRDefault="00EC2168" w:rsidP="00EC2168">
      <w:pPr>
        <w:jc w:val="center"/>
        <w:rPr>
          <w:rFonts w:ascii="Times New Roman" w:hAnsi="Times New Roman" w:cs="Times New Roman"/>
          <w:sz w:val="24"/>
          <w:szCs w:val="24"/>
        </w:rPr>
      </w:pPr>
      <w:r>
        <w:rPr>
          <w:rFonts w:ascii="Times New Roman" w:hAnsi="Times New Roman" w:cs="Times New Roman"/>
          <w:sz w:val="24"/>
          <w:szCs w:val="24"/>
        </w:rPr>
        <w:t>Date</w:t>
      </w:r>
    </w:p>
    <w:p w14:paraId="7E8C8117" w14:textId="6F413D33" w:rsidR="00EC2168" w:rsidRDefault="00EC2168">
      <w:pPr>
        <w:rPr>
          <w:rFonts w:ascii="Times New Roman" w:hAnsi="Times New Roman" w:cs="Times New Roman"/>
          <w:sz w:val="24"/>
          <w:szCs w:val="24"/>
        </w:rPr>
      </w:pPr>
      <w:r>
        <w:rPr>
          <w:rFonts w:ascii="Times New Roman" w:hAnsi="Times New Roman" w:cs="Times New Roman"/>
          <w:sz w:val="24"/>
          <w:szCs w:val="24"/>
        </w:rPr>
        <w:br w:type="page"/>
      </w:r>
    </w:p>
    <w:p w14:paraId="24ABA255" w14:textId="52F44644" w:rsidR="001F7B77" w:rsidRPr="001F7B77" w:rsidRDefault="001F7B77" w:rsidP="001F7B77">
      <w:pPr>
        <w:pStyle w:val="NormalWeb"/>
        <w:spacing w:after="0" w:line="480" w:lineRule="auto"/>
        <w:ind w:firstLine="720"/>
        <w:rPr>
          <w:color w:val="0E101A"/>
        </w:rPr>
      </w:pPr>
      <w:r w:rsidRPr="001F7B77">
        <w:rPr>
          <w:color w:val="0E101A"/>
        </w:rPr>
        <w:lastRenderedPageBreak/>
        <w:t xml:space="preserve">The decision that was made by the supreme court in Citizens United v. Federal Election Commission (FEC) is one of the most controversial decisions ever made in modern history. In a 5-4 ruling, the supreme court removed restrictions on independent corporate expenditures.  The ruling defined corruption in narrow terms. It asserted that corruption was constitutionally permissible in the situation where are regulations on campaign financing.  The decision was not embraced by many; it sparked outrage on the majority of many. One of the people who condemned the ruling was president Obama. He expressed his condemnations during the state of the nation address (Chaturvedi </w:t>
      </w:r>
      <w:r w:rsidR="00F272EE">
        <w:rPr>
          <w:color w:val="0E101A"/>
        </w:rPr>
        <w:t>&amp;</w:t>
      </w:r>
      <w:r w:rsidRPr="001F7B77">
        <w:rPr>
          <w:color w:val="0E101A"/>
        </w:rPr>
        <w:t xml:space="preserve"> Holloway, 2017). The president expressed concerns that unrestricted corporate funding on campaigns would put more focus on' special interests' rather than people's interests. </w:t>
      </w:r>
    </w:p>
    <w:p w14:paraId="677F567E" w14:textId="77777777" w:rsidR="001F7B77" w:rsidRPr="001F7B77" w:rsidRDefault="001F7B77" w:rsidP="001F7B77">
      <w:pPr>
        <w:pStyle w:val="NormalWeb"/>
        <w:spacing w:after="0" w:line="480" w:lineRule="auto"/>
        <w:ind w:firstLine="720"/>
        <w:rPr>
          <w:color w:val="0E101A"/>
        </w:rPr>
      </w:pPr>
      <w:r w:rsidRPr="001F7B77">
        <w:rPr>
          <w:color w:val="0E101A"/>
        </w:rPr>
        <w:t>The 2010 supreme court case that involved the Citizen United vs. Federal Election was concerned about campaign finance. The results of the case stipulated that there cannot be a limitation of corporate funding on electioneering communications. The ruling curtailed government attempts to restrict corporations or unions from funding independent political campaigns.  The Supreme court held that the first amendment protected expenditures from such bodies.  Curtailing independent political spending from unions and corporates was seen as a form of violating the right to free speech.  The underlying issue from the case was that it was feared that the politicians supported by corporates and labor unions would serve the organizations' interests instead of the people (Smith, 2018).</w:t>
      </w:r>
    </w:p>
    <w:p w14:paraId="1B2601C8" w14:textId="77777777" w:rsidR="001F7B77" w:rsidRPr="001F7B77" w:rsidRDefault="001F7B77" w:rsidP="001F7B77">
      <w:pPr>
        <w:pStyle w:val="NormalWeb"/>
        <w:spacing w:after="0" w:line="480" w:lineRule="auto"/>
        <w:ind w:firstLine="720"/>
        <w:rPr>
          <w:color w:val="0E101A"/>
        </w:rPr>
      </w:pPr>
      <w:r w:rsidRPr="001F7B77">
        <w:rPr>
          <w:color w:val="0E101A"/>
        </w:rPr>
        <w:t xml:space="preserve"> The opponents of the cases disagreed with the funding because there were concerns over several issues. These concerns were that the funding would contribute to corruption and would </w:t>
      </w:r>
      <w:r w:rsidRPr="001F7B77">
        <w:rPr>
          <w:color w:val="0E101A"/>
        </w:rPr>
        <w:lastRenderedPageBreak/>
        <w:t xml:space="preserve">interfere with democracy. That is because it was feared that corporates would interfere with the political process (Smith, 2018)). </w:t>
      </w:r>
    </w:p>
    <w:p w14:paraId="1C1F1F9D" w14:textId="77777777" w:rsidR="001F7B77" w:rsidRPr="001F7B77" w:rsidRDefault="001F7B77" w:rsidP="001F7B77">
      <w:pPr>
        <w:pStyle w:val="NormalWeb"/>
        <w:spacing w:after="0" w:line="480" w:lineRule="auto"/>
        <w:ind w:firstLine="720"/>
        <w:rPr>
          <w:color w:val="0E101A"/>
        </w:rPr>
      </w:pPr>
      <w:r w:rsidRPr="001F7B77">
        <w:rPr>
          <w:color w:val="0E101A"/>
        </w:rPr>
        <w:t xml:space="preserve">The ruling has changed the political landscape in various ways. One of the most evident ways is that political spending from outside groups has increased. There has been a dramatic increase in political funding from wealthy donors, interest groups, and corporations. The funding has led to the creation of super political action committees or PACs and expansive dark money utilization, which is usually funneled by some shadowy nonprofit organizations. These organizations do not disclose their donors. PACs are not contained by limits of money to spend on political parties. Dark money in this context is referred to as election-related money whose source is kept secret. Most of the money sources by these super PACs are from shadowy organizations that do not clearly expose their identities (Smith, 2018). The citizens are supposed to know who behind the political funding, but that has become impossible. As a result, there has been increased growth of secret spending from external groups. </w:t>
      </w:r>
      <w:proofErr w:type="spellStart"/>
      <w:r w:rsidRPr="001F7B77">
        <w:rPr>
          <w:color w:val="0E101A"/>
        </w:rPr>
        <w:t>Klumpp</w:t>
      </w:r>
      <w:proofErr w:type="spellEnd"/>
      <w:r w:rsidRPr="001F7B77">
        <w:rPr>
          <w:color w:val="0E101A"/>
        </w:rPr>
        <w:t xml:space="preserve"> et a., 2018 point out that dark expenditures rose from less than $5 million to $300 million since the ruling of the case. The use of dark money for political funding has increased the chances of election interference by outside forces (</w:t>
      </w:r>
      <w:proofErr w:type="spellStart"/>
      <w:r w:rsidRPr="001F7B77">
        <w:rPr>
          <w:color w:val="0E101A"/>
        </w:rPr>
        <w:t>Oklobdzija</w:t>
      </w:r>
      <w:proofErr w:type="spellEnd"/>
      <w:r w:rsidRPr="001F7B77">
        <w:rPr>
          <w:color w:val="0E101A"/>
        </w:rPr>
        <w:t xml:space="preserve">, 2019). </w:t>
      </w:r>
    </w:p>
    <w:p w14:paraId="710C8839" w14:textId="77777777" w:rsidR="001F7B77" w:rsidRPr="001F7B77" w:rsidRDefault="001F7B77" w:rsidP="001F7B77">
      <w:pPr>
        <w:pStyle w:val="NormalWeb"/>
        <w:spacing w:after="0" w:line="480" w:lineRule="auto"/>
        <w:ind w:firstLine="720"/>
        <w:rPr>
          <w:color w:val="0E101A"/>
        </w:rPr>
      </w:pPr>
      <w:r w:rsidRPr="001F7B77">
        <w:rPr>
          <w:color w:val="0E101A"/>
        </w:rPr>
        <w:t xml:space="preserve">Madison would have opposed the court rulings. The answer is based on Madison's definition of factions in federalist number 10. Madison faction refers to the number of citizens, whether minority or majority, who are bound together by common interests, passions, and the interests of the community. The faction addresses the issue of how to reconcile citizens who have contradicting interests and citizens whose interests are inimical to the community's interests at large.  Madison figured out that factions were inevitable due to the nature of man. He viewed </w:t>
      </w:r>
      <w:r w:rsidRPr="001F7B77">
        <w:rPr>
          <w:color w:val="0E101A"/>
        </w:rPr>
        <w:lastRenderedPageBreak/>
        <w:t xml:space="preserve">that, as long as people have different opinions, their wealth is not the same, and they own different amount of property, alliances will be formed by people who are similar to each other, and sometimes public interests will be bypassed at the expense of the interests of other people. Madison viewed such a situation as dangerous; thus, he questioned what the best way to contain such dangers was. </w:t>
      </w:r>
    </w:p>
    <w:p w14:paraId="08D2E9C6" w14:textId="77777777" w:rsidR="001F7B77" w:rsidRPr="001F7B77" w:rsidRDefault="001F7B77" w:rsidP="001F7B77">
      <w:pPr>
        <w:pStyle w:val="NormalWeb"/>
        <w:spacing w:after="0" w:line="480" w:lineRule="auto"/>
        <w:ind w:firstLine="720"/>
        <w:rPr>
          <w:color w:val="0E101A"/>
        </w:rPr>
      </w:pPr>
      <w:r w:rsidRPr="001F7B77">
        <w:rPr>
          <w:color w:val="0E101A"/>
        </w:rPr>
        <w:t xml:space="preserve">Madison was of the idea that pure democracy cannot control the factions. Pure democracy, in this, refers to a society that consists of small members and in which the government is administered in person. Madison argued that in such a society, the common interests or passion would be felt by the majority that ran the government. Therefore, there would be nothing to oversee the inducements meant to override weaker parties. Such government will, therefore, not be compatible with the rights of property or personal security. Madison argued that a republic was better than a democracy in curing the factions. The reason is that unlike democracy, where power is contained in a few citizens, in a republic, power is contained in the hands of the majority. That means that a republic would accommodate most of the public view, which is motivated by patriotism and justice.  The concern that is raised by Madison is the fear of having the 'majority tyranny.'  He was concerned that the majority of Madison argued that the notion of well-constructed unions is dangerous in popular governments. The reason is that members of such unions would not be concerned about their character and fate (Smith, 2018). </w:t>
      </w:r>
    </w:p>
    <w:p w14:paraId="1E5EF62C" w14:textId="77777777" w:rsidR="001F7B77" w:rsidRPr="001F7B77" w:rsidRDefault="001F7B77" w:rsidP="001F7B77">
      <w:pPr>
        <w:pStyle w:val="NormalWeb"/>
        <w:spacing w:after="0" w:line="480" w:lineRule="auto"/>
        <w:ind w:firstLine="720"/>
        <w:rPr>
          <w:color w:val="0E101A"/>
        </w:rPr>
      </w:pPr>
      <w:r w:rsidRPr="001F7B77">
        <w:rPr>
          <w:color w:val="0E101A"/>
        </w:rPr>
        <w:t xml:space="preserve">My opinion is that there is a high chance of public good to be disregarded where the interests of unions are coinciding with political party interests. Corporate campaign funding gives room for special interests, which in turn tend to undermine our democracy. Corporations are in a position to purchase millions of TV ads without revealing the person or the people who </w:t>
      </w:r>
      <w:r w:rsidRPr="001F7B77">
        <w:rPr>
          <w:color w:val="0E101A"/>
        </w:rPr>
        <w:lastRenderedPageBreak/>
        <w:t>are sponsoring the ads. They are in a position to camouflage the under some enticing and captivating words. The concern is that these shadowy figures can be willing to throw out millions of dollars for the sake of influencing elections.  Such actions bestow excessive powers on special interests instead of the politicians. In such situations, party lobbyists would be in a position to coerce Congress members that if they do not conform with their demands, they will be punished with negatives ads during their next campaign.</w:t>
      </w:r>
    </w:p>
    <w:p w14:paraId="24537158" w14:textId="3C16B407" w:rsidR="00005CC9" w:rsidRDefault="001F7B77" w:rsidP="001F7B77">
      <w:pPr>
        <w:pStyle w:val="NormalWeb"/>
        <w:spacing w:before="0" w:beforeAutospacing="0" w:after="0" w:afterAutospacing="0" w:line="480" w:lineRule="auto"/>
        <w:ind w:firstLine="720"/>
        <w:rPr>
          <w:color w:val="0E101A"/>
        </w:rPr>
      </w:pPr>
      <w:r w:rsidRPr="001F7B77">
        <w:rPr>
          <w:color w:val="0E101A"/>
        </w:rPr>
        <w:t xml:space="preserve">In conclusion, democracy works better when every citizen is involved. The Supreme court ruling gave corporates a chance to interfere with our elections.  That is considering the fact that external companies also would get an opportunity to interfere with the elections.  The ruling, in a way, injured our hard-earned democracy. Every elections and campaign give room for the overflooding of dark money in our airwaves. More so, it leads to the flooding of ads that aim to direct the will of the people into the gutter. It is better the interests and voices of the citizens are put as a first priority instead of the special interests and lobbyists. The analogy of Madison is important because it gives insights into threats such as powerful financial interests and corruption. When unrestricted funding becomes the basis of political funding, then the political parties lose their meaning and their purposes. Instead of serving the interests of the citizens, they start to serve the interests of the </w:t>
      </w:r>
      <w:proofErr w:type="gramStart"/>
      <w:r w:rsidRPr="001F7B77">
        <w:rPr>
          <w:color w:val="0E101A"/>
        </w:rPr>
        <w:t>funders.</w:t>
      </w:r>
      <w:r w:rsidR="00005CC9">
        <w:rPr>
          <w:color w:val="0E101A"/>
        </w:rPr>
        <w:t>.</w:t>
      </w:r>
      <w:proofErr w:type="gramEnd"/>
      <w:r w:rsidR="00005CC9">
        <w:rPr>
          <w:color w:val="0E101A"/>
        </w:rPr>
        <w:t xml:space="preserve"> </w:t>
      </w:r>
    </w:p>
    <w:p w14:paraId="302FF8B0" w14:textId="77777777" w:rsidR="00005CC9" w:rsidRDefault="00005CC9" w:rsidP="00005CC9">
      <w:pPr>
        <w:spacing w:line="480" w:lineRule="auto"/>
        <w:rPr>
          <w:rFonts w:ascii="Times New Roman" w:hAnsi="Times New Roman" w:cs="Times New Roman"/>
          <w:sz w:val="24"/>
          <w:szCs w:val="24"/>
        </w:rPr>
      </w:pPr>
    </w:p>
    <w:p w14:paraId="34D5B275" w14:textId="052BFFC2" w:rsidR="00EC2168" w:rsidRDefault="00EC2168">
      <w:pPr>
        <w:rPr>
          <w:rFonts w:ascii="Times New Roman" w:hAnsi="Times New Roman" w:cs="Times New Roman"/>
          <w:sz w:val="24"/>
          <w:szCs w:val="24"/>
        </w:rPr>
      </w:pPr>
      <w:r>
        <w:rPr>
          <w:rFonts w:ascii="Times New Roman" w:hAnsi="Times New Roman" w:cs="Times New Roman"/>
          <w:sz w:val="24"/>
          <w:szCs w:val="24"/>
        </w:rPr>
        <w:br w:type="page"/>
      </w:r>
    </w:p>
    <w:p w14:paraId="03FF735F" w14:textId="69CE2816" w:rsidR="00EC2168" w:rsidRDefault="00EC2168" w:rsidP="00EC2168">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74CF3BDC" w14:textId="77777777" w:rsidR="00005CC9" w:rsidRPr="009076AF" w:rsidRDefault="00005CC9" w:rsidP="00005CC9">
      <w:pPr>
        <w:spacing w:line="480" w:lineRule="auto"/>
        <w:ind w:left="720" w:hanging="720"/>
        <w:rPr>
          <w:rFonts w:ascii="Times New Roman" w:hAnsi="Times New Roman" w:cs="Times New Roman"/>
          <w:color w:val="222222"/>
          <w:sz w:val="24"/>
          <w:szCs w:val="24"/>
          <w:shd w:val="clear" w:color="auto" w:fill="FFFFFF"/>
        </w:rPr>
      </w:pPr>
      <w:r w:rsidRPr="009076AF">
        <w:rPr>
          <w:rFonts w:ascii="Times New Roman" w:hAnsi="Times New Roman" w:cs="Times New Roman"/>
          <w:color w:val="222222"/>
          <w:sz w:val="24"/>
          <w:szCs w:val="24"/>
          <w:shd w:val="clear" w:color="auto" w:fill="FFFFFF"/>
        </w:rPr>
        <w:t>Smith, B. A. (2018). Campaign finance and free speech: Finding the radicalism in Citizens United v. FEC. </w:t>
      </w:r>
      <w:r w:rsidRPr="009076AF">
        <w:rPr>
          <w:rFonts w:ascii="Times New Roman" w:hAnsi="Times New Roman" w:cs="Times New Roman"/>
          <w:i/>
          <w:iCs/>
          <w:color w:val="222222"/>
          <w:sz w:val="24"/>
          <w:szCs w:val="24"/>
          <w:shd w:val="clear" w:color="auto" w:fill="FFFFFF"/>
        </w:rPr>
        <w:t xml:space="preserve">Harv. JL &amp; Pub. </w:t>
      </w:r>
      <w:proofErr w:type="spellStart"/>
      <w:r w:rsidRPr="009076AF">
        <w:rPr>
          <w:rFonts w:ascii="Times New Roman" w:hAnsi="Times New Roman" w:cs="Times New Roman"/>
          <w:i/>
          <w:iCs/>
          <w:color w:val="222222"/>
          <w:sz w:val="24"/>
          <w:szCs w:val="24"/>
          <w:shd w:val="clear" w:color="auto" w:fill="FFFFFF"/>
        </w:rPr>
        <w:t>Pol'y</w:t>
      </w:r>
      <w:proofErr w:type="spellEnd"/>
      <w:r w:rsidRPr="009076AF">
        <w:rPr>
          <w:rFonts w:ascii="Times New Roman" w:hAnsi="Times New Roman" w:cs="Times New Roman"/>
          <w:color w:val="222222"/>
          <w:sz w:val="24"/>
          <w:szCs w:val="24"/>
          <w:shd w:val="clear" w:color="auto" w:fill="FFFFFF"/>
        </w:rPr>
        <w:t>, </w:t>
      </w:r>
      <w:r w:rsidRPr="009076AF">
        <w:rPr>
          <w:rFonts w:ascii="Times New Roman" w:hAnsi="Times New Roman" w:cs="Times New Roman"/>
          <w:i/>
          <w:iCs/>
          <w:color w:val="222222"/>
          <w:sz w:val="24"/>
          <w:szCs w:val="24"/>
          <w:shd w:val="clear" w:color="auto" w:fill="FFFFFF"/>
        </w:rPr>
        <w:t>41</w:t>
      </w:r>
      <w:r w:rsidRPr="009076AF">
        <w:rPr>
          <w:rFonts w:ascii="Times New Roman" w:hAnsi="Times New Roman" w:cs="Times New Roman"/>
          <w:color w:val="222222"/>
          <w:sz w:val="24"/>
          <w:szCs w:val="24"/>
          <w:shd w:val="clear" w:color="auto" w:fill="FFFFFF"/>
        </w:rPr>
        <w:t>, 139.</w:t>
      </w:r>
    </w:p>
    <w:p w14:paraId="4D385298" w14:textId="3711F0E0" w:rsidR="00005CC9" w:rsidRDefault="00005CC9" w:rsidP="00005CC9">
      <w:pPr>
        <w:spacing w:line="480" w:lineRule="auto"/>
        <w:ind w:left="720" w:hanging="720"/>
        <w:rPr>
          <w:rFonts w:ascii="Times New Roman" w:hAnsi="Times New Roman" w:cs="Times New Roman"/>
          <w:color w:val="222222"/>
          <w:sz w:val="24"/>
          <w:szCs w:val="24"/>
          <w:shd w:val="clear" w:color="auto" w:fill="FFFFFF"/>
        </w:rPr>
      </w:pPr>
      <w:proofErr w:type="spellStart"/>
      <w:r w:rsidRPr="009076AF">
        <w:rPr>
          <w:rFonts w:ascii="Times New Roman" w:hAnsi="Times New Roman" w:cs="Times New Roman"/>
          <w:color w:val="222222"/>
          <w:sz w:val="24"/>
          <w:szCs w:val="24"/>
          <w:shd w:val="clear" w:color="auto" w:fill="FFFFFF"/>
        </w:rPr>
        <w:t>Klumpp</w:t>
      </w:r>
      <w:proofErr w:type="spellEnd"/>
      <w:r w:rsidRPr="009076AF">
        <w:rPr>
          <w:rFonts w:ascii="Times New Roman" w:hAnsi="Times New Roman" w:cs="Times New Roman"/>
          <w:color w:val="222222"/>
          <w:sz w:val="24"/>
          <w:szCs w:val="24"/>
          <w:shd w:val="clear" w:color="auto" w:fill="FFFFFF"/>
        </w:rPr>
        <w:t xml:space="preserve">, T., </w:t>
      </w:r>
      <w:proofErr w:type="spellStart"/>
      <w:r w:rsidRPr="009076AF">
        <w:rPr>
          <w:rFonts w:ascii="Times New Roman" w:hAnsi="Times New Roman" w:cs="Times New Roman"/>
          <w:color w:val="222222"/>
          <w:sz w:val="24"/>
          <w:szCs w:val="24"/>
          <w:shd w:val="clear" w:color="auto" w:fill="FFFFFF"/>
        </w:rPr>
        <w:t>Mialon</w:t>
      </w:r>
      <w:proofErr w:type="spellEnd"/>
      <w:r w:rsidRPr="009076AF">
        <w:rPr>
          <w:rFonts w:ascii="Times New Roman" w:hAnsi="Times New Roman" w:cs="Times New Roman"/>
          <w:color w:val="222222"/>
          <w:sz w:val="24"/>
          <w:szCs w:val="24"/>
          <w:shd w:val="clear" w:color="auto" w:fill="FFFFFF"/>
        </w:rPr>
        <w:t>, H. M., &amp; Williams, M. A. (2016). The business of American democracy: Citizens United, independent spending, and elections. </w:t>
      </w:r>
      <w:r w:rsidRPr="009076AF">
        <w:rPr>
          <w:rFonts w:ascii="Times New Roman" w:hAnsi="Times New Roman" w:cs="Times New Roman"/>
          <w:i/>
          <w:iCs/>
          <w:color w:val="222222"/>
          <w:sz w:val="24"/>
          <w:szCs w:val="24"/>
          <w:shd w:val="clear" w:color="auto" w:fill="FFFFFF"/>
        </w:rPr>
        <w:t>The Journal of Law and Economics</w:t>
      </w:r>
      <w:r w:rsidRPr="009076AF">
        <w:rPr>
          <w:rFonts w:ascii="Times New Roman" w:hAnsi="Times New Roman" w:cs="Times New Roman"/>
          <w:color w:val="222222"/>
          <w:sz w:val="24"/>
          <w:szCs w:val="24"/>
          <w:shd w:val="clear" w:color="auto" w:fill="FFFFFF"/>
        </w:rPr>
        <w:t>, </w:t>
      </w:r>
      <w:r w:rsidRPr="009076AF">
        <w:rPr>
          <w:rFonts w:ascii="Times New Roman" w:hAnsi="Times New Roman" w:cs="Times New Roman"/>
          <w:i/>
          <w:iCs/>
          <w:color w:val="222222"/>
          <w:sz w:val="24"/>
          <w:szCs w:val="24"/>
          <w:shd w:val="clear" w:color="auto" w:fill="FFFFFF"/>
        </w:rPr>
        <w:t>59</w:t>
      </w:r>
      <w:r w:rsidRPr="009076AF">
        <w:rPr>
          <w:rFonts w:ascii="Times New Roman" w:hAnsi="Times New Roman" w:cs="Times New Roman"/>
          <w:color w:val="222222"/>
          <w:sz w:val="24"/>
          <w:szCs w:val="24"/>
          <w:shd w:val="clear" w:color="auto" w:fill="FFFFFF"/>
        </w:rPr>
        <w:t>(1), 1-43.</w:t>
      </w:r>
    </w:p>
    <w:p w14:paraId="465285C9" w14:textId="71A29F29" w:rsidR="008839E0" w:rsidRPr="008839E0" w:rsidRDefault="008839E0" w:rsidP="00005CC9">
      <w:pPr>
        <w:spacing w:line="480" w:lineRule="auto"/>
        <w:ind w:left="720" w:hanging="720"/>
        <w:rPr>
          <w:rFonts w:ascii="Times New Roman" w:hAnsi="Times New Roman" w:cs="Times New Roman"/>
          <w:color w:val="222222"/>
          <w:sz w:val="24"/>
          <w:szCs w:val="24"/>
          <w:shd w:val="clear" w:color="auto" w:fill="FFFFFF"/>
        </w:rPr>
      </w:pPr>
      <w:r w:rsidRPr="008839E0">
        <w:rPr>
          <w:rFonts w:ascii="Times New Roman" w:hAnsi="Times New Roman" w:cs="Times New Roman"/>
          <w:color w:val="222222"/>
          <w:sz w:val="24"/>
          <w:szCs w:val="24"/>
          <w:shd w:val="clear" w:color="auto" w:fill="FFFFFF"/>
        </w:rPr>
        <w:t xml:space="preserve">Chaturvedi, N. S., &amp; Holloway, C. (2017, July). Postdiluvian? The Effects of Outside Group Spending on Senate Elections After Citizens United and </w:t>
      </w:r>
      <w:proofErr w:type="spellStart"/>
      <w:r w:rsidRPr="008839E0">
        <w:rPr>
          <w:rFonts w:ascii="Times New Roman" w:hAnsi="Times New Roman" w:cs="Times New Roman"/>
          <w:color w:val="222222"/>
          <w:sz w:val="24"/>
          <w:szCs w:val="24"/>
          <w:shd w:val="clear" w:color="auto" w:fill="FFFFFF"/>
        </w:rPr>
        <w:t>Speechnow</w:t>
      </w:r>
      <w:proofErr w:type="spellEnd"/>
      <w:r w:rsidRPr="008839E0">
        <w:rPr>
          <w:rFonts w:ascii="Times New Roman" w:hAnsi="Times New Roman" w:cs="Times New Roman"/>
          <w:color w:val="222222"/>
          <w:sz w:val="24"/>
          <w:szCs w:val="24"/>
          <w:shd w:val="clear" w:color="auto" w:fill="FFFFFF"/>
        </w:rPr>
        <w:t>. org v. FEC. In </w:t>
      </w:r>
      <w:proofErr w:type="gramStart"/>
      <w:r w:rsidRPr="008839E0">
        <w:rPr>
          <w:rFonts w:ascii="Times New Roman" w:hAnsi="Times New Roman" w:cs="Times New Roman"/>
          <w:i/>
          <w:iCs/>
          <w:color w:val="222222"/>
          <w:sz w:val="24"/>
          <w:szCs w:val="24"/>
          <w:shd w:val="clear" w:color="auto" w:fill="FFFFFF"/>
        </w:rPr>
        <w:t>The</w:t>
      </w:r>
      <w:proofErr w:type="gramEnd"/>
      <w:r w:rsidRPr="008839E0">
        <w:rPr>
          <w:rFonts w:ascii="Times New Roman" w:hAnsi="Times New Roman" w:cs="Times New Roman"/>
          <w:i/>
          <w:iCs/>
          <w:color w:val="222222"/>
          <w:sz w:val="24"/>
          <w:szCs w:val="24"/>
          <w:shd w:val="clear" w:color="auto" w:fill="FFFFFF"/>
        </w:rPr>
        <w:t xml:space="preserve"> Forum</w:t>
      </w:r>
      <w:r w:rsidRPr="008839E0">
        <w:rPr>
          <w:rFonts w:ascii="Times New Roman" w:hAnsi="Times New Roman" w:cs="Times New Roman"/>
          <w:color w:val="222222"/>
          <w:sz w:val="24"/>
          <w:szCs w:val="24"/>
          <w:shd w:val="clear" w:color="auto" w:fill="FFFFFF"/>
        </w:rPr>
        <w:t> (Vol. 15, No. 2, pp. 251-267). De Gruyter.</w:t>
      </w:r>
    </w:p>
    <w:p w14:paraId="06C0CEED" w14:textId="76B108A6" w:rsidR="008839E0" w:rsidRPr="008839E0" w:rsidRDefault="008839E0" w:rsidP="00005CC9">
      <w:pPr>
        <w:spacing w:line="480" w:lineRule="auto"/>
        <w:ind w:left="720" w:hanging="720"/>
        <w:rPr>
          <w:rFonts w:ascii="Times New Roman" w:hAnsi="Times New Roman" w:cs="Times New Roman"/>
          <w:sz w:val="24"/>
          <w:szCs w:val="24"/>
        </w:rPr>
      </w:pPr>
      <w:proofErr w:type="spellStart"/>
      <w:r w:rsidRPr="008839E0">
        <w:rPr>
          <w:rFonts w:ascii="Times New Roman" w:hAnsi="Times New Roman" w:cs="Times New Roman"/>
          <w:color w:val="222222"/>
          <w:sz w:val="24"/>
          <w:szCs w:val="24"/>
          <w:shd w:val="clear" w:color="auto" w:fill="FFFFFF"/>
        </w:rPr>
        <w:t>Oklobdzija</w:t>
      </w:r>
      <w:proofErr w:type="spellEnd"/>
      <w:r w:rsidRPr="008839E0">
        <w:rPr>
          <w:rFonts w:ascii="Times New Roman" w:hAnsi="Times New Roman" w:cs="Times New Roman"/>
          <w:color w:val="222222"/>
          <w:sz w:val="24"/>
          <w:szCs w:val="24"/>
          <w:shd w:val="clear" w:color="auto" w:fill="FFFFFF"/>
        </w:rPr>
        <w:t>, S. (2019). </w:t>
      </w:r>
      <w:r w:rsidRPr="008839E0">
        <w:rPr>
          <w:rFonts w:ascii="Times New Roman" w:hAnsi="Times New Roman" w:cs="Times New Roman"/>
          <w:i/>
          <w:iCs/>
          <w:color w:val="222222"/>
          <w:sz w:val="24"/>
          <w:szCs w:val="24"/>
          <w:shd w:val="clear" w:color="auto" w:fill="FFFFFF"/>
        </w:rPr>
        <w:t>Dark Money and Political Parties After Citizens United</w:t>
      </w:r>
      <w:r w:rsidRPr="008839E0">
        <w:rPr>
          <w:rFonts w:ascii="Times New Roman" w:hAnsi="Times New Roman" w:cs="Times New Roman"/>
          <w:color w:val="222222"/>
          <w:sz w:val="24"/>
          <w:szCs w:val="24"/>
          <w:shd w:val="clear" w:color="auto" w:fill="FFFFFF"/>
        </w:rPr>
        <w:t> (Doctoral dissertation, UC San Diego).</w:t>
      </w:r>
    </w:p>
    <w:p w14:paraId="24E4B3B7" w14:textId="77777777" w:rsidR="00005CC9" w:rsidRPr="008839E0" w:rsidRDefault="00005CC9" w:rsidP="00005CC9">
      <w:pPr>
        <w:rPr>
          <w:rFonts w:ascii="Times New Roman" w:hAnsi="Times New Roman" w:cs="Times New Roman"/>
          <w:sz w:val="24"/>
          <w:szCs w:val="24"/>
        </w:rPr>
      </w:pPr>
    </w:p>
    <w:sectPr w:rsidR="00005CC9" w:rsidRPr="008839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9234CE" w14:textId="77777777" w:rsidR="00CB3A8C" w:rsidRDefault="00CB3A8C" w:rsidP="00EC2168">
      <w:pPr>
        <w:spacing w:after="0" w:line="240" w:lineRule="auto"/>
      </w:pPr>
      <w:r>
        <w:separator/>
      </w:r>
    </w:p>
  </w:endnote>
  <w:endnote w:type="continuationSeparator" w:id="0">
    <w:p w14:paraId="2D8FB31D" w14:textId="77777777" w:rsidR="00CB3A8C" w:rsidRDefault="00CB3A8C" w:rsidP="00EC2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1F535" w14:textId="77777777" w:rsidR="00CB3A8C" w:rsidRDefault="00CB3A8C" w:rsidP="00EC2168">
      <w:pPr>
        <w:spacing w:after="0" w:line="240" w:lineRule="auto"/>
      </w:pPr>
      <w:r>
        <w:separator/>
      </w:r>
    </w:p>
  </w:footnote>
  <w:footnote w:type="continuationSeparator" w:id="0">
    <w:p w14:paraId="124972AE" w14:textId="77777777" w:rsidR="00CB3A8C" w:rsidRDefault="00CB3A8C" w:rsidP="00EC2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93454" w14:textId="3F867A7A" w:rsidR="00EC2168" w:rsidRPr="00EC2168" w:rsidRDefault="00EC2168">
    <w:pPr>
      <w:pStyle w:val="Header"/>
      <w:rPr>
        <w:rFonts w:ascii="Times New Roman" w:hAnsi="Times New Roman" w:cs="Times New Roman"/>
        <w:sz w:val="24"/>
        <w:szCs w:val="24"/>
      </w:rPr>
    </w:pPr>
    <w:r w:rsidRPr="00EC2168">
      <w:rPr>
        <w:rFonts w:ascii="Times New Roman" w:hAnsi="Times New Roman" w:cs="Times New Roman"/>
        <w:sz w:val="24"/>
        <w:szCs w:val="24"/>
      </w:rPr>
      <w:t xml:space="preserve">CAMPAIGN FINANCING                                                                                                       </w:t>
    </w:r>
    <w:sdt>
      <w:sdtPr>
        <w:rPr>
          <w:rFonts w:ascii="Times New Roman" w:hAnsi="Times New Roman" w:cs="Times New Roman"/>
          <w:sz w:val="24"/>
          <w:szCs w:val="24"/>
        </w:rPr>
        <w:id w:val="1432855856"/>
        <w:docPartObj>
          <w:docPartGallery w:val="Page Numbers (Top of Page)"/>
          <w:docPartUnique/>
        </w:docPartObj>
      </w:sdtPr>
      <w:sdtEndPr>
        <w:rPr>
          <w:noProof/>
        </w:rPr>
      </w:sdtEndPr>
      <w:sdtContent>
        <w:r w:rsidRPr="00EC2168">
          <w:rPr>
            <w:rFonts w:ascii="Times New Roman" w:hAnsi="Times New Roman" w:cs="Times New Roman"/>
            <w:sz w:val="24"/>
            <w:szCs w:val="24"/>
          </w:rPr>
          <w:fldChar w:fldCharType="begin"/>
        </w:r>
        <w:r w:rsidRPr="00EC2168">
          <w:rPr>
            <w:rFonts w:ascii="Times New Roman" w:hAnsi="Times New Roman" w:cs="Times New Roman"/>
            <w:sz w:val="24"/>
            <w:szCs w:val="24"/>
          </w:rPr>
          <w:instrText xml:space="preserve"> PAGE   \* MERGEFORMAT </w:instrText>
        </w:r>
        <w:r w:rsidRPr="00EC2168">
          <w:rPr>
            <w:rFonts w:ascii="Times New Roman" w:hAnsi="Times New Roman" w:cs="Times New Roman"/>
            <w:sz w:val="24"/>
            <w:szCs w:val="24"/>
          </w:rPr>
          <w:fldChar w:fldCharType="separate"/>
        </w:r>
        <w:r w:rsidRPr="00EC2168">
          <w:rPr>
            <w:rFonts w:ascii="Times New Roman" w:hAnsi="Times New Roman" w:cs="Times New Roman"/>
            <w:noProof/>
            <w:sz w:val="24"/>
            <w:szCs w:val="24"/>
          </w:rPr>
          <w:t>2</w:t>
        </w:r>
        <w:r w:rsidRPr="00EC2168">
          <w:rPr>
            <w:rFonts w:ascii="Times New Roman" w:hAnsi="Times New Roman" w:cs="Times New Roman"/>
            <w:noProof/>
            <w:sz w:val="24"/>
            <w:szCs w:val="24"/>
          </w:rPr>
          <w:fldChar w:fldCharType="end"/>
        </w:r>
      </w:sdtContent>
    </w:sdt>
  </w:p>
  <w:p w14:paraId="18A1D8B4" w14:textId="77777777" w:rsidR="00EC2168" w:rsidRDefault="00EC21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168"/>
    <w:rsid w:val="00005CC9"/>
    <w:rsid w:val="00094CE2"/>
    <w:rsid w:val="0014258B"/>
    <w:rsid w:val="001C5076"/>
    <w:rsid w:val="001F7B77"/>
    <w:rsid w:val="002279FD"/>
    <w:rsid w:val="002C3E3B"/>
    <w:rsid w:val="003C5D55"/>
    <w:rsid w:val="00425B34"/>
    <w:rsid w:val="00456394"/>
    <w:rsid w:val="004B03B5"/>
    <w:rsid w:val="00501C27"/>
    <w:rsid w:val="00501C3D"/>
    <w:rsid w:val="005A452B"/>
    <w:rsid w:val="00767F2C"/>
    <w:rsid w:val="008839E0"/>
    <w:rsid w:val="008F3F81"/>
    <w:rsid w:val="009F73B0"/>
    <w:rsid w:val="00A550AB"/>
    <w:rsid w:val="00AB5A88"/>
    <w:rsid w:val="00CB3A8C"/>
    <w:rsid w:val="00CB691B"/>
    <w:rsid w:val="00DA1E8B"/>
    <w:rsid w:val="00EC2168"/>
    <w:rsid w:val="00F272EE"/>
    <w:rsid w:val="00FF6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7A67C"/>
  <w15:chartTrackingRefBased/>
  <w15:docId w15:val="{F51F332B-9605-4A8C-8B04-562971AA3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168"/>
  </w:style>
  <w:style w:type="paragraph" w:styleId="Footer">
    <w:name w:val="footer"/>
    <w:basedOn w:val="Normal"/>
    <w:link w:val="FooterChar"/>
    <w:uiPriority w:val="99"/>
    <w:unhideWhenUsed/>
    <w:rsid w:val="00EC2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168"/>
  </w:style>
  <w:style w:type="paragraph" w:styleId="NormalWeb">
    <w:name w:val="Normal (Web)"/>
    <w:basedOn w:val="Normal"/>
    <w:uiPriority w:val="99"/>
    <w:semiHidden/>
    <w:unhideWhenUsed/>
    <w:rsid w:val="00005CC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6</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cp:lastModifiedBy>
  <cp:revision>5</cp:revision>
  <dcterms:created xsi:type="dcterms:W3CDTF">2020-12-11T20:40:00Z</dcterms:created>
  <dcterms:modified xsi:type="dcterms:W3CDTF">2020-12-12T03:31:00Z</dcterms:modified>
</cp:coreProperties>
</file>